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EF" w:rsidRPr="00F233EF" w:rsidRDefault="00F233EF" w:rsidP="00F233EF">
      <w:pPr>
        <w:pStyle w:val="BasicParagraph"/>
        <w:suppressAutoHyphens/>
        <w:jc w:val="center"/>
        <w:rPr>
          <w:rFonts w:ascii="Book Antiqua" w:hAnsi="Book Antiqua" w:cs="Book Antiqua"/>
          <w:b/>
          <w:bCs/>
          <w:sz w:val="52"/>
          <w:szCs w:val="18"/>
        </w:rPr>
      </w:pPr>
      <w:r w:rsidRPr="00F233EF">
        <w:rPr>
          <w:rFonts w:ascii="Book Antiqua" w:hAnsi="Book Antiqua" w:cs="Book Antiqua"/>
          <w:b/>
          <w:bCs/>
          <w:sz w:val="52"/>
          <w:szCs w:val="18"/>
        </w:rPr>
        <w:t>Performance</w:t>
      </w:r>
    </w:p>
    <w:p w:rsidR="00F233EF" w:rsidRDefault="00F233EF" w:rsidP="00F233EF">
      <w:pPr>
        <w:pStyle w:val="BasicParagraph"/>
        <w:suppressAutoHyphens/>
        <w:rPr>
          <w:rFonts w:ascii="Book Antiqua" w:hAnsi="Book Antiqua" w:cs="Book Antiqua"/>
          <w:b/>
          <w:bCs/>
          <w:sz w:val="18"/>
          <w:szCs w:val="18"/>
        </w:rPr>
      </w:pPr>
    </w:p>
    <w:p w:rsidR="00F233EF" w:rsidRPr="00F233EF" w:rsidRDefault="00F233EF" w:rsidP="00F233EF">
      <w:pPr>
        <w:pStyle w:val="BasicParagraph"/>
        <w:suppressAutoHyphens/>
        <w:spacing w:line="240" w:lineRule="auto"/>
        <w:rPr>
          <w:rFonts w:ascii="Arial" w:hAnsi="Arial" w:cs="Arial"/>
          <w:b/>
          <w:bCs/>
          <w:sz w:val="22"/>
          <w:szCs w:val="18"/>
        </w:rPr>
      </w:pPr>
      <w:r w:rsidRPr="00F233EF">
        <w:rPr>
          <w:rFonts w:ascii="Arial" w:hAnsi="Arial" w:cs="Arial"/>
          <w:b/>
          <w:bCs/>
          <w:sz w:val="22"/>
          <w:szCs w:val="18"/>
        </w:rPr>
        <w:t xml:space="preserve">The vision of </w:t>
      </w:r>
      <w:proofErr w:type="spellStart"/>
      <w:r w:rsidRPr="00F233EF">
        <w:rPr>
          <w:rFonts w:ascii="Arial" w:hAnsi="Arial" w:cs="Arial"/>
          <w:b/>
          <w:bCs/>
          <w:sz w:val="22"/>
          <w:szCs w:val="18"/>
        </w:rPr>
        <w:t>WIOA</w:t>
      </w:r>
      <w:proofErr w:type="spellEnd"/>
      <w:r w:rsidRPr="00F233EF">
        <w:rPr>
          <w:rFonts w:ascii="Arial" w:hAnsi="Arial" w:cs="Arial"/>
          <w:b/>
          <w:bCs/>
          <w:sz w:val="22"/>
          <w:szCs w:val="18"/>
        </w:rPr>
        <w:t xml:space="preserve"> includes six common performance accountability measures that apply to the </w:t>
      </w:r>
      <w:proofErr w:type="spellStart"/>
      <w:r w:rsidRPr="00F233EF">
        <w:rPr>
          <w:rFonts w:ascii="Arial" w:hAnsi="Arial" w:cs="Arial"/>
          <w:b/>
          <w:bCs/>
          <w:sz w:val="22"/>
          <w:szCs w:val="18"/>
        </w:rPr>
        <w:t>WIOA</w:t>
      </w:r>
      <w:proofErr w:type="spellEnd"/>
      <w:r w:rsidRPr="00F233EF">
        <w:rPr>
          <w:rFonts w:ascii="Arial" w:hAnsi="Arial" w:cs="Arial"/>
          <w:b/>
          <w:bCs/>
          <w:sz w:val="22"/>
          <w:szCs w:val="18"/>
        </w:rPr>
        <w:t xml:space="preserve"> core programs.  Common Performance Measures across the variety of employment and training programs will lead to a better understanding of the overall impact of federal investments in employment and training programs.</w:t>
      </w:r>
    </w:p>
    <w:p w:rsidR="00F233EF" w:rsidRPr="00F233EF" w:rsidRDefault="00F233EF" w:rsidP="00F233EF">
      <w:pPr>
        <w:pStyle w:val="BasicParagraph"/>
        <w:suppressAutoHyphens/>
        <w:spacing w:line="240" w:lineRule="auto"/>
        <w:rPr>
          <w:rFonts w:ascii="Arial" w:hAnsi="Arial" w:cs="Arial"/>
          <w:b/>
          <w:bCs/>
          <w:sz w:val="22"/>
          <w:szCs w:val="18"/>
        </w:rPr>
      </w:pPr>
    </w:p>
    <w:p w:rsidR="00F233EF" w:rsidRPr="00F233EF" w:rsidRDefault="00F233EF" w:rsidP="00F233EF">
      <w:pPr>
        <w:pStyle w:val="BasicParagraph"/>
        <w:suppressAutoHyphens/>
        <w:spacing w:line="240" w:lineRule="auto"/>
        <w:rPr>
          <w:rFonts w:ascii="Arial" w:hAnsi="Arial" w:cs="Arial"/>
          <w:b/>
          <w:bCs/>
          <w:sz w:val="22"/>
          <w:szCs w:val="18"/>
        </w:rPr>
      </w:pPr>
      <w:r w:rsidRPr="00F233EF">
        <w:rPr>
          <w:rFonts w:ascii="Arial" w:hAnsi="Arial" w:cs="Arial"/>
          <w:b/>
          <w:bCs/>
          <w:sz w:val="22"/>
          <w:szCs w:val="18"/>
        </w:rPr>
        <w:t>Common Performance Measures will help ensure that those federal investments in employment and training programs are evidence-based, data-driven, and accountable to participants and taxpayers.</w:t>
      </w:r>
    </w:p>
    <w:p w:rsidR="00F233EF" w:rsidRPr="00F233EF" w:rsidRDefault="00F233EF" w:rsidP="00F233EF">
      <w:pPr>
        <w:pStyle w:val="BasicParagraph"/>
        <w:suppressAutoHyphens/>
        <w:spacing w:line="240" w:lineRule="auto"/>
        <w:rPr>
          <w:rFonts w:ascii="Arial" w:hAnsi="Arial" w:cs="Arial"/>
          <w:b/>
          <w:bCs/>
          <w:sz w:val="22"/>
          <w:szCs w:val="18"/>
        </w:rPr>
      </w:pPr>
    </w:p>
    <w:p w:rsidR="00F233EF" w:rsidRPr="00F233EF" w:rsidRDefault="00F233EF" w:rsidP="00F233EF">
      <w:pPr>
        <w:pStyle w:val="BasicParagraph"/>
        <w:suppressAutoHyphens/>
        <w:spacing w:line="240" w:lineRule="auto"/>
        <w:rPr>
          <w:rFonts w:ascii="Arial" w:hAnsi="Arial" w:cs="Arial"/>
          <w:b/>
          <w:bCs/>
          <w:sz w:val="22"/>
          <w:szCs w:val="18"/>
        </w:rPr>
      </w:pPr>
      <w:r w:rsidRPr="00F233EF">
        <w:rPr>
          <w:rFonts w:ascii="Arial" w:hAnsi="Arial" w:cs="Arial"/>
          <w:b/>
          <w:bCs/>
          <w:sz w:val="22"/>
          <w:szCs w:val="18"/>
        </w:rPr>
        <w:t>The Six Common Performance Measures are as follows:</w:t>
      </w:r>
    </w:p>
    <w:p w:rsidR="00F233EF" w:rsidRPr="00F233EF" w:rsidRDefault="00F233EF" w:rsidP="00F233EF">
      <w:pPr>
        <w:pStyle w:val="BasicParagraph"/>
        <w:suppressAutoHyphens/>
        <w:spacing w:line="240" w:lineRule="auto"/>
        <w:rPr>
          <w:rFonts w:ascii="Arial" w:hAnsi="Arial" w:cs="Arial"/>
          <w:b/>
          <w:bCs/>
          <w:sz w:val="22"/>
          <w:szCs w:val="18"/>
        </w:rPr>
      </w:pPr>
    </w:p>
    <w:p w:rsidR="00F233EF" w:rsidRPr="00F233EF" w:rsidRDefault="00F233EF" w:rsidP="00F233EF">
      <w:pPr>
        <w:pStyle w:val="BasicParagraph"/>
        <w:numPr>
          <w:ilvl w:val="0"/>
          <w:numId w:val="1"/>
        </w:numPr>
        <w:suppressAutoHyphens/>
        <w:spacing w:line="360" w:lineRule="auto"/>
        <w:rPr>
          <w:rFonts w:ascii="Arial" w:hAnsi="Arial" w:cs="Arial"/>
          <w:b/>
          <w:bCs/>
          <w:sz w:val="22"/>
          <w:szCs w:val="18"/>
        </w:rPr>
      </w:pPr>
      <w:r w:rsidRPr="00F233EF">
        <w:rPr>
          <w:rFonts w:ascii="Arial" w:hAnsi="Arial" w:cs="Arial"/>
          <w:b/>
          <w:bCs/>
          <w:sz w:val="22"/>
          <w:szCs w:val="18"/>
        </w:rPr>
        <w:t>Percentage of program participants who are in unsubsidized employment during the 2nd quarter after program exit;</w:t>
      </w:r>
    </w:p>
    <w:p w:rsidR="00F233EF" w:rsidRPr="00F233EF" w:rsidRDefault="00F233EF" w:rsidP="00F233EF">
      <w:pPr>
        <w:pStyle w:val="BasicParagraph"/>
        <w:numPr>
          <w:ilvl w:val="0"/>
          <w:numId w:val="1"/>
        </w:numPr>
        <w:suppressAutoHyphens/>
        <w:spacing w:line="360" w:lineRule="auto"/>
        <w:rPr>
          <w:rFonts w:ascii="Arial" w:hAnsi="Arial" w:cs="Arial"/>
          <w:b/>
          <w:bCs/>
          <w:sz w:val="22"/>
          <w:szCs w:val="18"/>
        </w:rPr>
      </w:pPr>
      <w:r w:rsidRPr="00F233EF">
        <w:rPr>
          <w:rFonts w:ascii="Arial" w:hAnsi="Arial" w:cs="Arial"/>
          <w:b/>
          <w:bCs/>
          <w:sz w:val="22"/>
          <w:szCs w:val="18"/>
        </w:rPr>
        <w:t>Percentage of program participants who are in unsubsidized employment during the 4th quarter after program exit;</w:t>
      </w:r>
    </w:p>
    <w:p w:rsidR="00F233EF" w:rsidRPr="00F233EF" w:rsidRDefault="00F233EF" w:rsidP="00F233EF">
      <w:pPr>
        <w:pStyle w:val="BasicParagraph"/>
        <w:numPr>
          <w:ilvl w:val="0"/>
          <w:numId w:val="1"/>
        </w:numPr>
        <w:suppressAutoHyphens/>
        <w:spacing w:line="360" w:lineRule="auto"/>
        <w:rPr>
          <w:rFonts w:ascii="Arial" w:hAnsi="Arial" w:cs="Arial"/>
          <w:b/>
          <w:bCs/>
          <w:sz w:val="22"/>
          <w:szCs w:val="18"/>
        </w:rPr>
      </w:pPr>
      <w:r w:rsidRPr="00F233EF">
        <w:rPr>
          <w:rFonts w:ascii="Arial" w:hAnsi="Arial" w:cs="Arial"/>
          <w:b/>
          <w:bCs/>
          <w:sz w:val="22"/>
          <w:szCs w:val="18"/>
        </w:rPr>
        <w:t>The median earnings of participants who are in unsubsidized employment during the second quarter after exit from the program;</w:t>
      </w:r>
    </w:p>
    <w:p w:rsidR="00F233EF" w:rsidRPr="00F233EF" w:rsidRDefault="00F233EF" w:rsidP="00F233EF">
      <w:pPr>
        <w:pStyle w:val="BasicParagraph"/>
        <w:numPr>
          <w:ilvl w:val="0"/>
          <w:numId w:val="1"/>
        </w:numPr>
        <w:suppressAutoHyphens/>
        <w:spacing w:line="360" w:lineRule="auto"/>
        <w:rPr>
          <w:rFonts w:ascii="Arial" w:hAnsi="Arial" w:cs="Arial"/>
          <w:b/>
          <w:bCs/>
          <w:sz w:val="22"/>
          <w:szCs w:val="18"/>
        </w:rPr>
      </w:pPr>
      <w:r w:rsidRPr="00F233EF">
        <w:rPr>
          <w:rFonts w:ascii="Arial" w:hAnsi="Arial" w:cs="Arial"/>
          <w:b/>
          <w:bCs/>
          <w:sz w:val="22"/>
          <w:szCs w:val="18"/>
        </w:rPr>
        <w:t>Percentage of participants in a postsecondary education or training program and received a credential/certificate during the program or within one year after exit or received a diploma or equivalent from a secondary education program while in program or within one year of exit AND who were employed or enrolled in an education or training program leading to a recognized postsecondary credential within one year after exit;</w:t>
      </w:r>
    </w:p>
    <w:p w:rsidR="00F233EF" w:rsidRPr="00F233EF" w:rsidRDefault="00F233EF" w:rsidP="00F233EF">
      <w:pPr>
        <w:pStyle w:val="BasicParagraph"/>
        <w:numPr>
          <w:ilvl w:val="0"/>
          <w:numId w:val="1"/>
        </w:numPr>
        <w:suppressAutoHyphens/>
        <w:spacing w:line="360" w:lineRule="auto"/>
        <w:rPr>
          <w:rFonts w:ascii="Arial" w:hAnsi="Arial" w:cs="Arial"/>
          <w:b/>
          <w:bCs/>
          <w:sz w:val="22"/>
          <w:szCs w:val="18"/>
        </w:rPr>
      </w:pPr>
      <w:r w:rsidRPr="00F233EF">
        <w:rPr>
          <w:rFonts w:ascii="Arial" w:hAnsi="Arial" w:cs="Arial"/>
          <w:b/>
          <w:bCs/>
          <w:sz w:val="22"/>
          <w:szCs w:val="18"/>
        </w:rPr>
        <w:t>Percentage of participants, who during a program year, are in an education or training program that leads to a recognized postsecondary credential or employment and who are achieving measurable skill gains toward such a credential or employment; and</w:t>
      </w:r>
    </w:p>
    <w:p w:rsidR="00CF4C67" w:rsidRPr="00F233EF" w:rsidRDefault="00F233EF" w:rsidP="00F233EF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8"/>
        </w:rPr>
      </w:pPr>
      <w:r w:rsidRPr="00F233EF">
        <w:rPr>
          <w:rFonts w:ascii="Arial" w:hAnsi="Arial" w:cs="Arial"/>
          <w:b/>
          <w:bCs/>
          <w:szCs w:val="18"/>
        </w:rPr>
        <w:t>Effectiveness in serving employers.</w:t>
      </w:r>
      <w:bookmarkStart w:id="0" w:name="_GoBack"/>
      <w:bookmarkEnd w:id="0"/>
    </w:p>
    <w:sectPr w:rsidR="00CF4C67" w:rsidRPr="00F23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7DEB"/>
    <w:multiLevelType w:val="hybridMultilevel"/>
    <w:tmpl w:val="F440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EF"/>
    <w:rsid w:val="00CF4C67"/>
    <w:rsid w:val="00F2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1A037-0B93-4A87-ADF7-A4402243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233EF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Lyons</dc:creator>
  <cp:keywords/>
  <dc:description/>
  <cp:lastModifiedBy>Ginger Lyons</cp:lastModifiedBy>
  <cp:revision>1</cp:revision>
  <dcterms:created xsi:type="dcterms:W3CDTF">2017-11-01T19:58:00Z</dcterms:created>
  <dcterms:modified xsi:type="dcterms:W3CDTF">2017-11-01T20:00:00Z</dcterms:modified>
</cp:coreProperties>
</file>