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E" w:rsidRPr="00E5223E" w:rsidRDefault="00AF6F7B" w:rsidP="00E5223E">
      <w:pPr>
        <w:jc w:val="center"/>
        <w:rPr>
          <w:rFonts w:ascii="Arial Rounded MT Bold" w:hAnsi="Arial Rounded MT Bold" w:cs="Arial"/>
          <w:color w:val="C00000"/>
          <w:sz w:val="40"/>
          <w:szCs w:val="24"/>
        </w:rPr>
      </w:pPr>
      <w:bookmarkStart w:id="0" w:name="_GoBack"/>
      <w:bookmarkEnd w:id="0"/>
      <w:r w:rsidRPr="00E5223E">
        <w:rPr>
          <w:rFonts w:ascii="Arial Rounded MT Bold" w:hAnsi="Arial Rounded MT Bold" w:cs="Arial"/>
          <w:color w:val="C00000"/>
          <w:sz w:val="40"/>
          <w:szCs w:val="24"/>
        </w:rPr>
        <w:t>Eligible Training Provider</w:t>
      </w:r>
    </w:p>
    <w:p w:rsidR="00E5223E" w:rsidRDefault="00E5223E">
      <w:pPr>
        <w:rPr>
          <w:rFonts w:ascii="Arial" w:hAnsi="Arial" w:cs="Arial"/>
          <w:sz w:val="24"/>
          <w:szCs w:val="24"/>
        </w:rPr>
      </w:pPr>
    </w:p>
    <w:p w:rsidR="005825EB" w:rsidRDefault="005825EB">
      <w:pPr>
        <w:rPr>
          <w:rFonts w:ascii="Arial" w:hAnsi="Arial" w:cs="Arial"/>
          <w:sz w:val="24"/>
          <w:szCs w:val="24"/>
        </w:rPr>
      </w:pPr>
    </w:p>
    <w:p w:rsidR="00693DD2" w:rsidRPr="00E5223E" w:rsidRDefault="00E5223E">
      <w:pPr>
        <w:rPr>
          <w:rFonts w:ascii="Arial" w:hAnsi="Arial" w:cs="Arial"/>
          <w:b/>
          <w:sz w:val="24"/>
          <w:szCs w:val="24"/>
        </w:rPr>
      </w:pPr>
      <w:r w:rsidRPr="00E5223E">
        <w:rPr>
          <w:rFonts w:ascii="Arial" w:hAnsi="Arial" w:cs="Arial"/>
          <w:b/>
          <w:sz w:val="24"/>
          <w:szCs w:val="24"/>
        </w:rPr>
        <w:t>WEBSITES</w:t>
      </w:r>
    </w:p>
    <w:p w:rsidR="00693DD2" w:rsidRPr="00E5223E" w:rsidRDefault="00693DD2">
      <w:pPr>
        <w:rPr>
          <w:rFonts w:ascii="Arial" w:hAnsi="Arial" w:cs="Arial"/>
          <w:sz w:val="24"/>
          <w:szCs w:val="24"/>
        </w:rPr>
      </w:pPr>
    </w:p>
    <w:p w:rsidR="00E5223E" w:rsidRDefault="00693DD2">
      <w:pPr>
        <w:rPr>
          <w:rFonts w:ascii="Arial" w:hAnsi="Arial" w:cs="Arial"/>
          <w:sz w:val="24"/>
          <w:szCs w:val="24"/>
        </w:rPr>
      </w:pPr>
      <w:r w:rsidRPr="00E5223E">
        <w:rPr>
          <w:rFonts w:ascii="Arial" w:hAnsi="Arial" w:cs="Arial"/>
          <w:sz w:val="24"/>
          <w:szCs w:val="24"/>
        </w:rPr>
        <w:t>State Information Site:</w:t>
      </w:r>
      <w:r w:rsidRPr="00E5223E">
        <w:rPr>
          <w:rFonts w:ascii="Arial" w:hAnsi="Arial" w:cs="Arial"/>
          <w:sz w:val="24"/>
          <w:szCs w:val="24"/>
        </w:rPr>
        <w:tab/>
      </w:r>
    </w:p>
    <w:p w:rsidR="00CF4C67" w:rsidRPr="00E5223E" w:rsidRDefault="001161A5" w:rsidP="00E5223E">
      <w:pPr>
        <w:ind w:firstLine="720"/>
        <w:rPr>
          <w:rFonts w:ascii="Arial" w:hAnsi="Arial" w:cs="Arial"/>
          <w:sz w:val="24"/>
          <w:szCs w:val="24"/>
        </w:rPr>
      </w:pPr>
      <w:hyperlink r:id="rId5" w:history="1">
        <w:r w:rsidR="00693DD2" w:rsidRPr="00E5223E">
          <w:rPr>
            <w:rStyle w:val="Hyperlink"/>
            <w:rFonts w:ascii="Arial" w:hAnsi="Arial" w:cs="Arial"/>
            <w:sz w:val="24"/>
            <w:szCs w:val="24"/>
          </w:rPr>
          <w:t>https://www.tn.gov/workforce/article/eligible-training-providers</w:t>
        </w:r>
      </w:hyperlink>
    </w:p>
    <w:p w:rsidR="00693DD2" w:rsidRPr="00E5223E" w:rsidRDefault="00693DD2">
      <w:pPr>
        <w:rPr>
          <w:rFonts w:ascii="Arial" w:hAnsi="Arial" w:cs="Arial"/>
          <w:sz w:val="24"/>
          <w:szCs w:val="24"/>
        </w:rPr>
      </w:pPr>
    </w:p>
    <w:p w:rsidR="00E5223E" w:rsidRDefault="00E52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FC5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Site:</w:t>
      </w:r>
    </w:p>
    <w:p w:rsidR="00693DD2" w:rsidRPr="00E5223E" w:rsidRDefault="001161A5" w:rsidP="00E5223E">
      <w:pPr>
        <w:ind w:left="720"/>
        <w:rPr>
          <w:rFonts w:ascii="Arial" w:hAnsi="Arial" w:cs="Arial"/>
          <w:sz w:val="24"/>
          <w:szCs w:val="24"/>
        </w:rPr>
      </w:pPr>
      <w:hyperlink r:id="rId6" w:history="1">
        <w:r w:rsidR="00E5223E" w:rsidRPr="00B727AE">
          <w:rPr>
            <w:rStyle w:val="Hyperlink"/>
            <w:rFonts w:ascii="Arial" w:hAnsi="Arial" w:cs="Arial"/>
            <w:sz w:val="24"/>
            <w:szCs w:val="24"/>
          </w:rPr>
          <w:t>https://www.tn.gov/assets/entities/labor/attachments/Applying_to_Become_a_Provider.pdf</w:t>
        </w:r>
      </w:hyperlink>
    </w:p>
    <w:p w:rsidR="00693DD2" w:rsidRPr="00E5223E" w:rsidRDefault="00693DD2">
      <w:pPr>
        <w:rPr>
          <w:rFonts w:ascii="Arial" w:hAnsi="Arial" w:cs="Arial"/>
          <w:sz w:val="24"/>
          <w:szCs w:val="24"/>
        </w:rPr>
      </w:pPr>
    </w:p>
    <w:p w:rsidR="00693DD2" w:rsidRPr="00E5223E" w:rsidRDefault="00AF6F7B">
      <w:pPr>
        <w:rPr>
          <w:rFonts w:ascii="Arial" w:hAnsi="Arial" w:cs="Arial"/>
          <w:sz w:val="24"/>
          <w:szCs w:val="24"/>
        </w:rPr>
      </w:pPr>
      <w:r w:rsidRPr="00E5223E">
        <w:rPr>
          <w:rFonts w:ascii="Arial" w:hAnsi="Arial" w:cs="Arial"/>
          <w:sz w:val="24"/>
          <w:szCs w:val="24"/>
        </w:rPr>
        <w:t>Provider Help Guide:</w:t>
      </w:r>
    </w:p>
    <w:p w:rsidR="00AF6F7B" w:rsidRPr="00E5223E" w:rsidRDefault="001161A5" w:rsidP="00E5223E">
      <w:pPr>
        <w:ind w:left="720"/>
        <w:rPr>
          <w:rFonts w:ascii="Arial" w:hAnsi="Arial" w:cs="Arial"/>
          <w:sz w:val="24"/>
          <w:szCs w:val="24"/>
        </w:rPr>
      </w:pPr>
      <w:hyperlink r:id="rId7" w:history="1">
        <w:r w:rsidR="00E5223E" w:rsidRPr="00B727AE">
          <w:rPr>
            <w:rStyle w:val="Hyperlink"/>
            <w:rFonts w:ascii="Arial" w:hAnsi="Arial" w:cs="Arial"/>
            <w:sz w:val="24"/>
            <w:szCs w:val="24"/>
          </w:rPr>
          <w:t>https://www.tn.gov/assets/entities/labor/attachments/Provider_Help_Guide_ETPL.pdf</w:t>
        </w:r>
      </w:hyperlink>
    </w:p>
    <w:p w:rsidR="00AF6F7B" w:rsidRPr="00E5223E" w:rsidRDefault="00AF6F7B">
      <w:pPr>
        <w:rPr>
          <w:rFonts w:ascii="Arial" w:hAnsi="Arial" w:cs="Arial"/>
          <w:sz w:val="24"/>
          <w:szCs w:val="24"/>
        </w:rPr>
      </w:pPr>
    </w:p>
    <w:p w:rsidR="005825EB" w:rsidRDefault="00FC5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Tennessee</w:t>
      </w:r>
      <w:r w:rsidR="005825EB">
        <w:rPr>
          <w:rFonts w:ascii="Arial" w:hAnsi="Arial" w:cs="Arial"/>
          <w:sz w:val="24"/>
          <w:szCs w:val="24"/>
        </w:rPr>
        <w:t xml:space="preserve"> Eligible Training Provider List:</w:t>
      </w:r>
    </w:p>
    <w:p w:rsidR="005825EB" w:rsidRPr="005825EB" w:rsidRDefault="005825EB" w:rsidP="005825EB">
      <w:pPr>
        <w:ind w:left="720"/>
        <w:rPr>
          <w:rFonts w:ascii="Arial" w:hAnsi="Arial" w:cs="Arial"/>
          <w:color w:val="0563C1"/>
          <w:sz w:val="24"/>
          <w:szCs w:val="24"/>
          <w:u w:val="single"/>
        </w:rPr>
      </w:pPr>
      <w:r w:rsidRPr="005825EB">
        <w:rPr>
          <w:rFonts w:ascii="Arial" w:hAnsi="Arial" w:cs="Arial"/>
          <w:color w:val="0563C1"/>
          <w:sz w:val="24"/>
          <w:szCs w:val="24"/>
          <w:u w:val="single"/>
        </w:rPr>
        <w:t>https://www.jobs4tn.gov/vosnet/MenuLandingPage.aspx?enc=Kt8ubp6xpBXFjGGwpUEHTA7kk4DIxSH/c8amoqL6Prw=</w:t>
      </w:r>
    </w:p>
    <w:p w:rsidR="005825EB" w:rsidRDefault="005825EB">
      <w:pPr>
        <w:rPr>
          <w:rFonts w:ascii="Arial" w:hAnsi="Arial" w:cs="Arial"/>
          <w:sz w:val="24"/>
          <w:szCs w:val="24"/>
        </w:rPr>
      </w:pPr>
    </w:p>
    <w:p w:rsidR="00AF6F7B" w:rsidRPr="00E5223E" w:rsidRDefault="00AF6F7B">
      <w:pPr>
        <w:rPr>
          <w:rFonts w:ascii="Arial" w:hAnsi="Arial" w:cs="Arial"/>
          <w:sz w:val="24"/>
          <w:szCs w:val="24"/>
        </w:rPr>
      </w:pPr>
      <w:r w:rsidRPr="00E5223E">
        <w:rPr>
          <w:rFonts w:ascii="Arial" w:hAnsi="Arial" w:cs="Arial"/>
          <w:sz w:val="24"/>
          <w:szCs w:val="24"/>
        </w:rPr>
        <w:t>State Contact:</w:t>
      </w:r>
    </w:p>
    <w:p w:rsidR="00AF6F7B" w:rsidRPr="00E5223E" w:rsidRDefault="00AF6F7B" w:rsidP="00AF6F7B">
      <w:pPr>
        <w:ind w:firstLine="720"/>
        <w:rPr>
          <w:rFonts w:ascii="Arial" w:hAnsi="Arial" w:cs="Arial"/>
          <w:color w:val="131E29"/>
          <w:sz w:val="24"/>
          <w:szCs w:val="24"/>
          <w:lang w:val="en"/>
        </w:rPr>
      </w:pPr>
      <w:r w:rsidRPr="00E5223E">
        <w:rPr>
          <w:rFonts w:ascii="Arial" w:hAnsi="Arial" w:cs="Arial"/>
          <w:color w:val="131E29"/>
          <w:sz w:val="24"/>
          <w:szCs w:val="24"/>
          <w:lang w:val="en"/>
        </w:rPr>
        <w:t xml:space="preserve">Ryan Allen, Director of Workforce Services </w:t>
      </w:r>
    </w:p>
    <w:p w:rsidR="00AF6F7B" w:rsidRPr="00E5223E" w:rsidRDefault="00AF6F7B" w:rsidP="00AF6F7B">
      <w:pPr>
        <w:ind w:firstLine="720"/>
        <w:rPr>
          <w:rFonts w:ascii="Arial" w:hAnsi="Arial" w:cs="Arial"/>
          <w:color w:val="131E29"/>
          <w:sz w:val="24"/>
          <w:szCs w:val="24"/>
          <w:lang w:val="en"/>
        </w:rPr>
      </w:pPr>
      <w:r w:rsidRPr="00E5223E">
        <w:rPr>
          <w:rFonts w:ascii="Arial" w:hAnsi="Arial" w:cs="Arial"/>
          <w:color w:val="131E29"/>
          <w:sz w:val="24"/>
          <w:szCs w:val="24"/>
          <w:lang w:val="en"/>
        </w:rPr>
        <w:t xml:space="preserve">615-253-6763 </w:t>
      </w:r>
    </w:p>
    <w:p w:rsidR="00AF6F7B" w:rsidRPr="00E5223E" w:rsidRDefault="001161A5" w:rsidP="00AF6F7B">
      <w:pPr>
        <w:ind w:firstLine="720"/>
        <w:rPr>
          <w:rFonts w:ascii="Arial" w:hAnsi="Arial" w:cs="Arial"/>
          <w:color w:val="131E29"/>
          <w:sz w:val="24"/>
          <w:szCs w:val="24"/>
          <w:lang w:val="en"/>
        </w:rPr>
      </w:pPr>
      <w:hyperlink r:id="rId8" w:history="1">
        <w:r w:rsidR="00AF6F7B" w:rsidRPr="00E5223E">
          <w:rPr>
            <w:rStyle w:val="Hyperlink"/>
            <w:rFonts w:ascii="Arial" w:hAnsi="Arial" w:cs="Arial"/>
            <w:sz w:val="24"/>
            <w:szCs w:val="24"/>
            <w:lang w:val="en"/>
          </w:rPr>
          <w:t>Ryan.Allen@tn.gov</w:t>
        </w:r>
      </w:hyperlink>
    </w:p>
    <w:p w:rsidR="00AF6F7B" w:rsidRPr="00E5223E" w:rsidRDefault="00AF6F7B" w:rsidP="00AF6F7B">
      <w:pPr>
        <w:rPr>
          <w:rFonts w:ascii="Arial" w:hAnsi="Arial" w:cs="Arial"/>
          <w:color w:val="131E29"/>
          <w:sz w:val="24"/>
          <w:szCs w:val="24"/>
          <w:lang w:val="en"/>
        </w:rPr>
      </w:pPr>
    </w:p>
    <w:p w:rsidR="00AF6F7B" w:rsidRPr="00E5223E" w:rsidRDefault="0019695D" w:rsidP="00AF6F7B">
      <w:pPr>
        <w:rPr>
          <w:rFonts w:ascii="Arial" w:hAnsi="Arial" w:cs="Arial"/>
          <w:sz w:val="24"/>
          <w:szCs w:val="24"/>
        </w:rPr>
      </w:pPr>
      <w:r w:rsidRPr="00E5223E">
        <w:rPr>
          <w:rFonts w:ascii="Arial" w:hAnsi="Arial" w:cs="Arial"/>
          <w:sz w:val="24"/>
          <w:szCs w:val="24"/>
        </w:rPr>
        <w:t xml:space="preserve"> U.S. Training &amp; Employment Guidance Letter No. 41-14</w:t>
      </w:r>
    </w:p>
    <w:p w:rsidR="0019695D" w:rsidRPr="00E5223E" w:rsidRDefault="0019695D" w:rsidP="00AF6F7B">
      <w:pPr>
        <w:rPr>
          <w:rFonts w:ascii="Arial" w:hAnsi="Arial" w:cs="Arial"/>
          <w:sz w:val="24"/>
          <w:szCs w:val="24"/>
        </w:rPr>
      </w:pPr>
      <w:r w:rsidRPr="00E5223E">
        <w:rPr>
          <w:rFonts w:ascii="Arial" w:hAnsi="Arial" w:cs="Arial"/>
          <w:sz w:val="24"/>
          <w:szCs w:val="24"/>
        </w:rPr>
        <w:tab/>
      </w:r>
      <w:hyperlink r:id="rId9" w:history="1">
        <w:r w:rsidRPr="00E5223E">
          <w:rPr>
            <w:rStyle w:val="Hyperlink"/>
            <w:rFonts w:ascii="Arial" w:hAnsi="Arial" w:cs="Arial"/>
            <w:sz w:val="24"/>
            <w:szCs w:val="24"/>
          </w:rPr>
          <w:t>https://wdr.doleta.gov/directives/corr_doc.cfm?DOCN=5816</w:t>
        </w:r>
      </w:hyperlink>
    </w:p>
    <w:p w:rsidR="0019695D" w:rsidRPr="00E5223E" w:rsidRDefault="0019695D" w:rsidP="00AF6F7B">
      <w:pPr>
        <w:rPr>
          <w:rFonts w:ascii="Arial" w:hAnsi="Arial" w:cs="Arial"/>
          <w:sz w:val="24"/>
          <w:szCs w:val="24"/>
        </w:rPr>
      </w:pPr>
    </w:p>
    <w:p w:rsidR="0019695D" w:rsidRPr="00E5223E" w:rsidRDefault="0019695D" w:rsidP="00AF6F7B">
      <w:pPr>
        <w:rPr>
          <w:rFonts w:ascii="Arial" w:hAnsi="Arial" w:cs="Arial"/>
          <w:sz w:val="24"/>
          <w:szCs w:val="24"/>
        </w:rPr>
      </w:pPr>
    </w:p>
    <w:p w:rsidR="0019695D" w:rsidRDefault="00214AB7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W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orkforce 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nnovation &amp; 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O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pportunity 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A</w:t>
      </w:r>
      <w:r>
        <w:rPr>
          <w:rFonts w:ascii="Arial" w:eastAsia="Times New Roman" w:hAnsi="Arial" w:cs="Arial"/>
          <w:sz w:val="24"/>
          <w:szCs w:val="24"/>
          <w:lang w:val="en"/>
        </w:rPr>
        <w:t>ct (WIOA)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 provides Local Workforce Development Boards (LWDBs) the opportunity to expand training and educational opportunities.  The goal is to help </w:t>
      </w:r>
      <w:r w:rsidR="0019695D" w:rsidRPr="00FC5815">
        <w:rPr>
          <w:rFonts w:ascii="Arial" w:eastAsia="Times New Roman" w:hAnsi="Arial" w:cs="Arial"/>
          <w:noProof/>
          <w:sz w:val="24"/>
          <w:szCs w:val="24"/>
          <w:lang w:val="en"/>
        </w:rPr>
        <w:t>low</w:t>
      </w:r>
      <w:r w:rsidR="00FC5815">
        <w:rPr>
          <w:rFonts w:ascii="Arial" w:eastAsia="Times New Roman" w:hAnsi="Arial" w:cs="Arial"/>
          <w:noProof/>
          <w:sz w:val="24"/>
          <w:szCs w:val="24"/>
          <w:lang w:val="en"/>
        </w:rPr>
        <w:t>-</w:t>
      </w:r>
      <w:r w:rsidR="0019695D" w:rsidRPr="00FC5815">
        <w:rPr>
          <w:rFonts w:ascii="Arial" w:eastAsia="Times New Roman" w:hAnsi="Arial" w:cs="Arial"/>
          <w:noProof/>
          <w:sz w:val="24"/>
          <w:szCs w:val="24"/>
          <w:lang w:val="en"/>
        </w:rPr>
        <w:t>income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 individuals, dislocated workers, </w:t>
      </w:r>
      <w:r w:rsidR="00086114">
        <w:rPr>
          <w:rFonts w:ascii="Arial" w:eastAsia="Times New Roman" w:hAnsi="Arial" w:cs="Arial"/>
          <w:sz w:val="24"/>
          <w:szCs w:val="24"/>
          <w:lang w:val="en"/>
        </w:rPr>
        <w:t xml:space="preserve">youth, </w:t>
      </w:r>
      <w:r w:rsidR="00E5223E" w:rsidRPr="00E5223E">
        <w:rPr>
          <w:rFonts w:ascii="Arial" w:eastAsia="Times New Roman" w:hAnsi="Arial" w:cs="Arial"/>
          <w:sz w:val="24"/>
          <w:szCs w:val="24"/>
          <w:lang w:val="en"/>
        </w:rPr>
        <w:t>and individuals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 with limited skills and barriers to employment earn industry-recognized credentials and</w:t>
      </w:r>
      <w:r w:rsidR="008B7A22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advance in the workplace.</w:t>
      </w:r>
    </w:p>
    <w:p w:rsidR="00FC5815" w:rsidRPr="00E5223E" w:rsidRDefault="00FC5815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</w:p>
    <w:p w:rsidR="0019695D" w:rsidRPr="00E5223E" w:rsidRDefault="0019695D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LWDBs can offer more training specifically targeted for high-demand occupations or industry sectors in addition to Individual Training Accounts (ITAs).  Local WDBs use WIOA funds to provide new training models that will lead to</w:t>
      </w:r>
      <w:r w:rsidRPr="00086114">
        <w:rPr>
          <w:rFonts w:ascii="Arial" w:eastAsia="Times New Roman" w:hAnsi="Arial" w:cs="Arial"/>
          <w:b/>
          <w:bCs/>
          <w:sz w:val="24"/>
          <w:szCs w:val="24"/>
          <w:lang w:val="en"/>
        </w:rPr>
        <w:t>: </w:t>
      </w:r>
    </w:p>
    <w:p w:rsidR="0019695D" w:rsidRPr="00E5223E" w:rsidRDefault="00086114" w:rsidP="00474CB2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Industry-</w:t>
      </w:r>
      <w:r w:rsidR="00474CB2">
        <w:rPr>
          <w:rFonts w:ascii="Arial" w:eastAsia="Times New Roman" w:hAnsi="Arial" w:cs="Arial"/>
          <w:sz w:val="24"/>
          <w:szCs w:val="24"/>
          <w:lang w:val="en"/>
        </w:rPr>
        <w:t>R</w:t>
      </w:r>
      <w:r>
        <w:rPr>
          <w:rFonts w:ascii="Arial" w:eastAsia="Times New Roman" w:hAnsi="Arial" w:cs="Arial"/>
          <w:sz w:val="24"/>
          <w:szCs w:val="24"/>
          <w:lang w:val="en"/>
        </w:rPr>
        <w:t>ecognized C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redentials </w:t>
      </w:r>
    </w:p>
    <w:p w:rsidR="0019695D" w:rsidRPr="008B7A22" w:rsidRDefault="00086114" w:rsidP="00086114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8B7A22">
        <w:rPr>
          <w:rFonts w:ascii="Arial" w:eastAsia="Times New Roman" w:hAnsi="Arial" w:cs="Arial"/>
          <w:sz w:val="24"/>
          <w:szCs w:val="24"/>
          <w:lang w:val="en"/>
        </w:rPr>
        <w:t>A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>pprenticeships</w:t>
      </w:r>
      <w:r w:rsidR="0093345E"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="0093345E" w:rsidRPr="008B7A22">
        <w:rPr>
          <w:rFonts w:ascii="Arial" w:eastAsia="Times New Roman" w:hAnsi="Arial" w:cs="Arial"/>
          <w:sz w:val="24"/>
          <w:szCs w:val="24"/>
          <w:lang w:val="en"/>
        </w:rPr>
        <w:t>/</w:t>
      </w:r>
      <w:r w:rsidR="0093345E"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="0093345E" w:rsidRPr="008B7A22">
        <w:rPr>
          <w:rFonts w:ascii="Arial" w:eastAsia="Times New Roman" w:hAnsi="Arial" w:cs="Arial"/>
          <w:sz w:val="24"/>
          <w:szCs w:val="24"/>
          <w:lang w:val="en"/>
        </w:rPr>
        <w:t>Internships</w:t>
      </w:r>
      <w:r w:rsidR="0093345E"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="0093345E" w:rsidRPr="008B7A22">
        <w:rPr>
          <w:rFonts w:ascii="Arial" w:eastAsia="Times New Roman" w:hAnsi="Arial" w:cs="Arial"/>
          <w:sz w:val="24"/>
          <w:szCs w:val="24"/>
          <w:lang w:val="en"/>
        </w:rPr>
        <w:t>/</w:t>
      </w:r>
      <w:r w:rsidR="0093345E"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="0093345E" w:rsidRPr="008B7A22">
        <w:rPr>
          <w:rFonts w:ascii="Arial" w:eastAsia="Times New Roman" w:hAnsi="Arial" w:cs="Arial"/>
          <w:sz w:val="24"/>
          <w:szCs w:val="24"/>
          <w:lang w:val="en"/>
        </w:rPr>
        <w:t>Pre-Apprenticeships</w:t>
      </w:r>
    </w:p>
    <w:p w:rsidR="008B7A22" w:rsidRDefault="00086114" w:rsidP="000D1FFC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8B7A22">
        <w:rPr>
          <w:rFonts w:ascii="Arial" w:eastAsia="Times New Roman" w:hAnsi="Arial" w:cs="Arial"/>
          <w:sz w:val="24"/>
          <w:szCs w:val="24"/>
          <w:lang w:val="en"/>
        </w:rPr>
        <w:t>I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 xml:space="preserve">ntegrated </w:t>
      </w:r>
      <w:r w:rsidRPr="008B7A22">
        <w:rPr>
          <w:rFonts w:ascii="Arial" w:eastAsia="Times New Roman" w:hAnsi="Arial" w:cs="Arial"/>
          <w:sz w:val="24"/>
          <w:szCs w:val="24"/>
          <w:lang w:val="en"/>
        </w:rPr>
        <w:t>E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>ducational</w:t>
      </w:r>
      <w:r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>/</w:t>
      </w:r>
      <w:r w:rsidRPr="008B7A22">
        <w:rPr>
          <w:rFonts w:ascii="Arial" w:eastAsia="Times New Roman" w:hAnsi="Arial" w:cs="Arial"/>
          <w:sz w:val="12"/>
          <w:szCs w:val="12"/>
          <w:lang w:val="en"/>
        </w:rPr>
        <w:t xml:space="preserve"> </w:t>
      </w:r>
      <w:r w:rsidRPr="008B7A22">
        <w:rPr>
          <w:rFonts w:ascii="Arial" w:eastAsia="Times New Roman" w:hAnsi="Arial" w:cs="Arial"/>
          <w:sz w:val="24"/>
          <w:szCs w:val="24"/>
          <w:lang w:val="en"/>
        </w:rPr>
        <w:t>T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 xml:space="preserve">raining </w:t>
      </w:r>
      <w:r w:rsidRPr="008B7A22">
        <w:rPr>
          <w:rFonts w:ascii="Arial" w:eastAsia="Times New Roman" w:hAnsi="Arial" w:cs="Arial"/>
          <w:sz w:val="24"/>
          <w:szCs w:val="24"/>
          <w:lang w:val="en"/>
        </w:rPr>
        <w:t>A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>pproaches </w:t>
      </w:r>
    </w:p>
    <w:p w:rsidR="0019695D" w:rsidRPr="008B7A22" w:rsidRDefault="00086114" w:rsidP="000D1FFC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8B7A22">
        <w:rPr>
          <w:rFonts w:ascii="Arial" w:eastAsia="Times New Roman" w:hAnsi="Arial" w:cs="Arial"/>
          <w:sz w:val="24"/>
          <w:szCs w:val="24"/>
          <w:lang w:val="en"/>
        </w:rPr>
        <w:lastRenderedPageBreak/>
        <w:t>C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 xml:space="preserve">areer </w:t>
      </w:r>
      <w:r w:rsidRPr="008B7A22">
        <w:rPr>
          <w:rFonts w:ascii="Arial" w:eastAsia="Times New Roman" w:hAnsi="Arial" w:cs="Arial"/>
          <w:sz w:val="24"/>
          <w:szCs w:val="24"/>
          <w:lang w:val="en"/>
        </w:rPr>
        <w:t>P</w:t>
      </w:r>
      <w:r w:rsidR="0019695D" w:rsidRPr="008B7A22">
        <w:rPr>
          <w:rFonts w:ascii="Arial" w:eastAsia="Times New Roman" w:hAnsi="Arial" w:cs="Arial"/>
          <w:sz w:val="24"/>
          <w:szCs w:val="24"/>
          <w:lang w:val="en"/>
        </w:rPr>
        <w:t>athways </w:t>
      </w:r>
    </w:p>
    <w:p w:rsidR="0019695D" w:rsidRPr="00E5223E" w:rsidRDefault="00086114" w:rsidP="00086114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Industry P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artnerships</w:t>
      </w:r>
    </w:p>
    <w:p w:rsidR="0019695D" w:rsidRDefault="00086114" w:rsidP="00086114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Cohort-</w:t>
      </w:r>
      <w:r w:rsidR="00474CB2">
        <w:rPr>
          <w:rFonts w:ascii="Arial" w:eastAsia="Times New Roman" w:hAnsi="Arial" w:cs="Arial"/>
          <w:sz w:val="24"/>
          <w:szCs w:val="24"/>
          <w:lang w:val="en"/>
        </w:rPr>
        <w:t>B</w:t>
      </w:r>
      <w:r>
        <w:rPr>
          <w:rFonts w:ascii="Arial" w:eastAsia="Times New Roman" w:hAnsi="Arial" w:cs="Arial"/>
          <w:sz w:val="24"/>
          <w:szCs w:val="24"/>
          <w:lang w:val="en"/>
        </w:rPr>
        <w:t>ased T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raining</w:t>
      </w:r>
    </w:p>
    <w:p w:rsidR="0093345E" w:rsidRDefault="0093345E" w:rsidP="00086114">
      <w:pPr>
        <w:numPr>
          <w:ilvl w:val="0"/>
          <w:numId w:val="5"/>
        </w:numPr>
        <w:tabs>
          <w:tab w:val="clear" w:pos="720"/>
          <w:tab w:val="num" w:pos="540"/>
        </w:tabs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Work Based Learning</w:t>
      </w:r>
    </w:p>
    <w:p w:rsidR="0093345E" w:rsidRDefault="0093345E" w:rsidP="00474CB2">
      <w:pPr>
        <w:numPr>
          <w:ilvl w:val="1"/>
          <w:numId w:val="1"/>
        </w:numPr>
        <w:tabs>
          <w:tab w:val="clear" w:pos="1440"/>
          <w:tab w:val="num" w:pos="1080"/>
        </w:tabs>
        <w:spacing w:after="75" w:line="330" w:lineRule="atLeast"/>
        <w:ind w:left="990" w:hanging="27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Work Experience</w:t>
      </w:r>
    </w:p>
    <w:p w:rsidR="0093345E" w:rsidRDefault="0093345E" w:rsidP="00086114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75" w:line="330" w:lineRule="atLeast"/>
        <w:ind w:left="990" w:hanging="27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On</w:t>
      </w:r>
      <w:r w:rsidR="00086114">
        <w:rPr>
          <w:rFonts w:ascii="Arial" w:eastAsia="Times New Roman" w:hAnsi="Arial" w:cs="Arial"/>
          <w:sz w:val="24"/>
          <w:szCs w:val="24"/>
          <w:lang w:val="en"/>
        </w:rPr>
        <w:t>-</w:t>
      </w:r>
      <w:r>
        <w:rPr>
          <w:rFonts w:ascii="Arial" w:eastAsia="Times New Roman" w:hAnsi="Arial" w:cs="Arial"/>
          <w:sz w:val="24"/>
          <w:szCs w:val="24"/>
          <w:lang w:val="en"/>
        </w:rPr>
        <w:t>the</w:t>
      </w:r>
      <w:r w:rsidR="00086114">
        <w:rPr>
          <w:rFonts w:ascii="Arial" w:eastAsia="Times New Roman" w:hAnsi="Arial" w:cs="Arial"/>
          <w:sz w:val="24"/>
          <w:szCs w:val="24"/>
          <w:lang w:val="en"/>
        </w:rPr>
        <w:t>-</w:t>
      </w:r>
      <w:r>
        <w:rPr>
          <w:rFonts w:ascii="Arial" w:eastAsia="Times New Roman" w:hAnsi="Arial" w:cs="Arial"/>
          <w:sz w:val="24"/>
          <w:szCs w:val="24"/>
          <w:lang w:val="en"/>
        </w:rPr>
        <w:t>Job Training (OJT</w:t>
      </w:r>
      <w:r w:rsidR="00086114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93345E" w:rsidRDefault="0093345E" w:rsidP="00474CB2">
      <w:pPr>
        <w:numPr>
          <w:ilvl w:val="1"/>
          <w:numId w:val="1"/>
        </w:numPr>
        <w:tabs>
          <w:tab w:val="clear" w:pos="1440"/>
          <w:tab w:val="num" w:pos="1080"/>
        </w:tabs>
        <w:spacing w:before="100" w:beforeAutospacing="1" w:after="75" w:line="330" w:lineRule="atLeast"/>
        <w:ind w:left="990" w:hanging="27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Transitional Jobs</w:t>
      </w:r>
    </w:p>
    <w:p w:rsidR="005825EB" w:rsidRDefault="005825EB" w:rsidP="005825EB">
      <w:pPr>
        <w:rPr>
          <w:rFonts w:ascii="Arial" w:eastAsia="Times New Roman" w:hAnsi="Arial" w:cs="Arial"/>
          <w:sz w:val="24"/>
          <w:szCs w:val="24"/>
          <w:lang w:val="en"/>
        </w:rPr>
      </w:pPr>
    </w:p>
    <w:p w:rsidR="0019695D" w:rsidRPr="00E5223E" w:rsidRDefault="0019695D" w:rsidP="005825EB">
      <w:pPr>
        <w:spacing w:after="165" w:line="325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LWDBs can now use a portion of their local Title I funds for pay-for-performance contracts for specific targeted populations.  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 xml:space="preserve">Local WDBs 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will be required to evaluate how each targeted population was selected, along with outcomes of training.</w:t>
      </w:r>
    </w:p>
    <w:p w:rsidR="00E5223E" w:rsidRDefault="0019695D" w:rsidP="00E5223E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19695D" w:rsidRPr="00E5223E" w:rsidRDefault="0019695D" w:rsidP="00E5223E">
      <w:pPr>
        <w:spacing w:after="165" w:line="33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b/>
          <w:sz w:val="24"/>
          <w:szCs w:val="24"/>
          <w:lang w:val="en"/>
        </w:rPr>
        <w:t>Eligible Training Provider List (ETPL) Requirements</w:t>
      </w:r>
    </w:p>
    <w:p w:rsidR="0019695D" w:rsidRPr="00E5223E" w:rsidRDefault="0019695D" w:rsidP="005825EB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WIOA has established an Eligible Training Provider process that will help support and ensure customer choice, performance </w:t>
      </w:r>
      <w:r w:rsidRPr="001064E8">
        <w:rPr>
          <w:rFonts w:ascii="Arial" w:eastAsia="Times New Roman" w:hAnsi="Arial" w:cs="Arial"/>
          <w:noProof/>
          <w:sz w:val="24"/>
          <w:szCs w:val="24"/>
          <w:lang w:val="en"/>
        </w:rPr>
        <w:t>accountability</w:t>
      </w:r>
      <w:r w:rsidR="001064E8">
        <w:rPr>
          <w:rFonts w:ascii="Arial" w:eastAsia="Times New Roman" w:hAnsi="Arial" w:cs="Arial"/>
          <w:noProof/>
          <w:sz w:val="24"/>
          <w:szCs w:val="24"/>
          <w:lang w:val="en"/>
        </w:rPr>
        <w:t>,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and continuous 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>i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mprovement.  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State and LWDBs will identify Eligible Training Providers qualified to re</w:t>
      </w:r>
      <w:r w:rsidR="00086114">
        <w:rPr>
          <w:rFonts w:ascii="Arial" w:eastAsia="Times New Roman" w:hAnsi="Arial" w:cs="Arial"/>
          <w:sz w:val="24"/>
          <w:szCs w:val="24"/>
          <w:lang w:val="en"/>
        </w:rPr>
        <w:t xml:space="preserve">ceive WIOA funds to train adults, 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dislocated workers and youth. </w:t>
      </w:r>
    </w:p>
    <w:p w:rsidR="0019695D" w:rsidRPr="00E5223E" w:rsidRDefault="0019695D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19695D" w:rsidRPr="00E5223E" w:rsidRDefault="0019695D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An Eligible Training Provider is one who has met the eligibility requirements to receive WIOA Title </w:t>
      </w:r>
      <w:r w:rsidR="00086114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I </w:t>
      </w: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funds to provide training services to eligible individuals.  </w:t>
      </w:r>
      <w:r w:rsidR="001064E8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n"/>
        </w:rPr>
        <w:t>T</w:t>
      </w:r>
      <w:r w:rsidRPr="001064E8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n"/>
        </w:rPr>
        <w:t>o</w:t>
      </w: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 </w:t>
      </w:r>
      <w:r w:rsidRPr="001064E8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n"/>
        </w:rPr>
        <w:t>receive</w:t>
      </w: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 WIOA funds, the training provider must meet numerous ETPL </w:t>
      </w:r>
      <w:r w:rsidR="00086114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re</w:t>
      </w: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quirements and must be</w:t>
      </w:r>
      <w:r w:rsidRPr="00086114"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</w:p>
    <w:p w:rsidR="0019695D" w:rsidRPr="00E5223E" w:rsidRDefault="0019695D" w:rsidP="00086114">
      <w:pPr>
        <w:numPr>
          <w:ilvl w:val="0"/>
          <w:numId w:val="2"/>
        </w:numPr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Institution of higher education that </w:t>
      </w:r>
      <w:r w:rsidRPr="001064E8">
        <w:rPr>
          <w:rFonts w:ascii="Arial" w:eastAsia="Times New Roman" w:hAnsi="Arial" w:cs="Arial"/>
          <w:noProof/>
          <w:sz w:val="24"/>
          <w:szCs w:val="24"/>
          <w:lang w:val="en"/>
        </w:rPr>
        <w:t>provide</w:t>
      </w:r>
      <w:r w:rsidR="001064E8" w:rsidRPr="001064E8">
        <w:rPr>
          <w:rFonts w:ascii="Arial" w:eastAsia="Times New Roman" w:hAnsi="Arial" w:cs="Arial"/>
          <w:noProof/>
          <w:sz w:val="24"/>
          <w:szCs w:val="24"/>
          <w:lang w:val="en"/>
        </w:rPr>
        <w:t>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training 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>leading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to post-secondary credentials</w:t>
      </w:r>
    </w:p>
    <w:p w:rsidR="0019695D" w:rsidRPr="00E5223E" w:rsidRDefault="0019695D" w:rsidP="00086114">
      <w:pPr>
        <w:numPr>
          <w:ilvl w:val="0"/>
          <w:numId w:val="2"/>
        </w:numPr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Apprenticeship program registered by the USDOL Office of Registered Apprenticeship</w:t>
      </w:r>
    </w:p>
    <w:p w:rsidR="0019695D" w:rsidRPr="00E5223E" w:rsidRDefault="0019695D" w:rsidP="00086114">
      <w:pPr>
        <w:numPr>
          <w:ilvl w:val="0"/>
          <w:numId w:val="2"/>
        </w:numPr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Public or private training provider, including join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>t labor-management organizations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, pre-apprenticeship </w:t>
      </w:r>
      <w:r w:rsidRPr="001064E8">
        <w:rPr>
          <w:rFonts w:ascii="Arial" w:eastAsia="Times New Roman" w:hAnsi="Arial" w:cs="Arial"/>
          <w:noProof/>
          <w:sz w:val="24"/>
          <w:szCs w:val="24"/>
          <w:lang w:val="en"/>
        </w:rPr>
        <w:t>program</w:t>
      </w:r>
      <w:r w:rsidR="001064E8">
        <w:rPr>
          <w:rFonts w:ascii="Arial" w:eastAsia="Times New Roman" w:hAnsi="Arial" w:cs="Arial"/>
          <w:noProof/>
          <w:sz w:val="24"/>
          <w:szCs w:val="24"/>
          <w:lang w:val="en"/>
        </w:rPr>
        <w:t>s,</w:t>
      </w:r>
      <w:r w:rsidRPr="001064E8">
        <w:rPr>
          <w:rFonts w:ascii="Arial" w:eastAsia="Times New Roman" w:hAnsi="Arial" w:cs="Arial"/>
          <w:noProof/>
          <w:sz w:val="24"/>
          <w:szCs w:val="24"/>
          <w:lang w:val="en"/>
        </w:rPr>
        <w:t xml:space="preserve"> and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8B7A22">
        <w:rPr>
          <w:rFonts w:ascii="Arial" w:eastAsia="Times New Roman" w:hAnsi="Arial" w:cs="Arial"/>
          <w:noProof/>
          <w:sz w:val="24"/>
          <w:szCs w:val="24"/>
          <w:lang w:val="en"/>
        </w:rPr>
        <w:t>occupational</w:t>
      </w:r>
      <w:r w:rsidR="001064E8" w:rsidRPr="008B7A22">
        <w:rPr>
          <w:rFonts w:ascii="Arial" w:eastAsia="Times New Roman" w:hAnsi="Arial" w:cs="Arial"/>
          <w:noProof/>
          <w:sz w:val="12"/>
          <w:szCs w:val="12"/>
          <w:lang w:val="en"/>
        </w:rPr>
        <w:t xml:space="preserve"> </w:t>
      </w:r>
      <w:r w:rsidRPr="008B7A22">
        <w:rPr>
          <w:rFonts w:ascii="Arial" w:eastAsia="Times New Roman" w:hAnsi="Arial" w:cs="Arial"/>
          <w:noProof/>
          <w:sz w:val="24"/>
          <w:szCs w:val="24"/>
          <w:lang w:val="en"/>
        </w:rPr>
        <w:t>/</w:t>
      </w:r>
      <w:r w:rsidR="001064E8" w:rsidRPr="008B7A22">
        <w:rPr>
          <w:rFonts w:ascii="Arial" w:eastAsia="Times New Roman" w:hAnsi="Arial" w:cs="Arial"/>
          <w:noProof/>
          <w:sz w:val="12"/>
          <w:szCs w:val="12"/>
          <w:lang w:val="en"/>
        </w:rPr>
        <w:t xml:space="preserve"> </w:t>
      </w:r>
      <w:r w:rsidRPr="008B7A22">
        <w:rPr>
          <w:rFonts w:ascii="Arial" w:eastAsia="Times New Roman" w:hAnsi="Arial" w:cs="Arial"/>
          <w:noProof/>
          <w:sz w:val="24"/>
          <w:szCs w:val="24"/>
          <w:lang w:val="en"/>
        </w:rPr>
        <w:t>technical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training provider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>s</w:t>
      </w:r>
    </w:p>
    <w:p w:rsidR="00086114" w:rsidRDefault="001064E8" w:rsidP="00086114">
      <w:pPr>
        <w:numPr>
          <w:ilvl w:val="0"/>
          <w:numId w:val="2"/>
        </w:numPr>
        <w:spacing w:before="100" w:beforeAutospacing="1" w:after="75" w:line="330" w:lineRule="atLeast"/>
        <w:ind w:left="54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Provider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 of </w:t>
      </w:r>
      <w:r>
        <w:rPr>
          <w:rFonts w:ascii="Arial" w:eastAsia="Times New Roman" w:hAnsi="Arial" w:cs="Arial"/>
          <w:sz w:val="24"/>
          <w:szCs w:val="24"/>
          <w:lang w:val="en"/>
        </w:rPr>
        <w:t>A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dult </w:t>
      </w:r>
      <w:r>
        <w:rPr>
          <w:rFonts w:ascii="Arial" w:eastAsia="Times New Roman" w:hAnsi="Arial" w:cs="Arial"/>
          <w:sz w:val="24"/>
          <w:szCs w:val="24"/>
          <w:lang w:val="en"/>
        </w:rPr>
        <w:t>E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ducation and </w:t>
      </w:r>
      <w:r>
        <w:rPr>
          <w:rFonts w:ascii="Arial" w:eastAsia="Times New Roman" w:hAnsi="Arial" w:cs="Arial"/>
          <w:sz w:val="24"/>
          <w:szCs w:val="24"/>
          <w:lang w:val="en"/>
        </w:rPr>
        <w:t>L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iteracy activities </w:t>
      </w:r>
    </w:p>
    <w:p w:rsidR="00086114" w:rsidRPr="00086114" w:rsidRDefault="00086114" w:rsidP="00086114">
      <w:pPr>
        <w:ind w:left="450"/>
        <w:rPr>
          <w:rFonts w:ascii="Arial" w:eastAsia="Times New Roman" w:hAnsi="Arial" w:cs="Arial"/>
          <w:sz w:val="24"/>
          <w:szCs w:val="24"/>
          <w:lang w:val="en"/>
        </w:rPr>
      </w:pPr>
    </w:p>
    <w:p w:rsidR="0019695D" w:rsidRPr="00E5223E" w:rsidRDefault="0019695D" w:rsidP="00E35C47">
      <w:pPr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All training providers will be required to meet performance outcomes and ensure accountability, quality, and labor market-relevant programs and offerings. </w:t>
      </w:r>
    </w:p>
    <w:p w:rsidR="0019695D" w:rsidRPr="00E5223E" w:rsidRDefault="0019695D" w:rsidP="005825EB">
      <w:pPr>
        <w:spacing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5825EB" w:rsidRDefault="005825EB" w:rsidP="00474CB2">
      <w:pPr>
        <w:spacing w:line="33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sectPr w:rsidR="005825EB" w:rsidSect="005825EB"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:rsidR="0019695D" w:rsidRPr="00E5223E" w:rsidRDefault="0019695D" w:rsidP="00474CB2">
      <w:pPr>
        <w:spacing w:after="100" w:afterAutospacing="1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lastRenderedPageBreak/>
        <w:t xml:space="preserve">Training providers (both existing and new) will be required to submit an online application that includes all the documentation </w:t>
      </w:r>
      <w:r w:rsidRPr="008B7A22"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n"/>
        </w:rPr>
        <w:t>required by</w:t>
      </w:r>
      <w:r w:rsidR="001064E8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 the S</w:t>
      </w: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tate and LWDBs such as</w:t>
      </w:r>
      <w:r w:rsidRPr="00086114"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Information supporting a claim that an applicable training program leads to a post-secondary or industry-recognized credential, and a detailed description of the credential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Evidence of ability to provide services to incumbent workers and individuals with barriers to employment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8B7A22">
        <w:rPr>
          <w:rFonts w:ascii="Arial" w:eastAsia="Times New Roman" w:hAnsi="Arial" w:cs="Arial"/>
          <w:noProof/>
          <w:sz w:val="24"/>
          <w:szCs w:val="24"/>
          <w:lang w:val="en"/>
        </w:rPr>
        <w:t>Evidence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of 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>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tate licensure requirements and licensing status 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Program completion rate for all individuals participating in applicable programs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Employment and </w:t>
      </w:r>
      <w:r w:rsidRPr="001D182F">
        <w:rPr>
          <w:rFonts w:ascii="Arial" w:eastAsia="Times New Roman" w:hAnsi="Arial" w:cs="Arial"/>
          <w:noProof/>
          <w:sz w:val="24"/>
          <w:szCs w:val="24"/>
          <w:lang w:val="en"/>
        </w:rPr>
        <w:t>earning</w:t>
      </w:r>
      <w:r w:rsidR="001064E8" w:rsidRPr="001064E8">
        <w:rPr>
          <w:rFonts w:ascii="Arial" w:eastAsia="Times New Roman" w:hAnsi="Arial" w:cs="Arial"/>
          <w:noProof/>
          <w:sz w:val="24"/>
          <w:szCs w:val="24"/>
          <w:lang w:val="en"/>
        </w:rPr>
        <w:t>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outcomes 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Cost of training (including supplies, books, fees</w:t>
      </w:r>
      <w:r w:rsidR="001064E8">
        <w:rPr>
          <w:rFonts w:ascii="Arial" w:eastAsia="Times New Roman" w:hAnsi="Arial" w:cs="Arial"/>
          <w:sz w:val="24"/>
          <w:szCs w:val="24"/>
          <w:lang w:val="en"/>
        </w:rPr>
        <w:t>, etc.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Post-secondary credentials offered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Program costs per student by type of </w:t>
      </w:r>
      <w:r w:rsidRPr="008B7A22">
        <w:rPr>
          <w:rFonts w:ascii="Arial" w:eastAsia="Times New Roman" w:hAnsi="Arial" w:cs="Arial"/>
          <w:noProof/>
          <w:sz w:val="24"/>
          <w:szCs w:val="24"/>
          <w:lang w:val="en"/>
        </w:rPr>
        <w:t>training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19695D" w:rsidRPr="00E5223E" w:rsidRDefault="0019695D" w:rsidP="001D182F">
      <w:pPr>
        <w:numPr>
          <w:ilvl w:val="0"/>
          <w:numId w:val="6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Pre-Apprenticeship Program offerings</w:t>
      </w:r>
    </w:p>
    <w:p w:rsidR="0019695D" w:rsidRPr="00E5223E" w:rsidRDefault="0019695D" w:rsidP="00E35C47">
      <w:pPr>
        <w:spacing w:after="120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19695D" w:rsidRPr="00E5223E" w:rsidRDefault="0019695D" w:rsidP="0019695D">
      <w:pPr>
        <w:spacing w:after="16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Training providers on the ETPL will also be required to report performance outcomes.  Each year they will be required to submit, at a minimum, the following</w:t>
      </w:r>
      <w:r w:rsidRPr="00086114"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Total number of participants enrolled in the program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Total number of participants completing the program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Entry into unsubsidized employment at second quarter after exit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Entry into unsubsidized employment at fourth quarter after exit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Median earnings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Attainment of post-secondary credentials</w:t>
      </w:r>
    </w:p>
    <w:p w:rsidR="0019695D" w:rsidRPr="00E5223E" w:rsidRDefault="00FC5815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Measurable S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 xml:space="preserve">kills </w:t>
      </w:r>
      <w:r>
        <w:rPr>
          <w:rFonts w:ascii="Arial" w:eastAsia="Times New Roman" w:hAnsi="Arial" w:cs="Arial"/>
          <w:sz w:val="24"/>
          <w:szCs w:val="24"/>
          <w:lang w:val="en"/>
        </w:rPr>
        <w:t>G</w:t>
      </w:r>
      <w:r w:rsidR="0019695D" w:rsidRPr="00E5223E">
        <w:rPr>
          <w:rFonts w:ascii="Arial" w:eastAsia="Times New Roman" w:hAnsi="Arial" w:cs="Arial"/>
          <w:sz w:val="24"/>
          <w:szCs w:val="24"/>
          <w:lang w:val="en"/>
        </w:rPr>
        <w:t>ains</w:t>
      </w:r>
    </w:p>
    <w:p w:rsidR="0019695D" w:rsidRPr="00E5223E" w:rsidRDefault="0019695D" w:rsidP="001D182F">
      <w:pPr>
        <w:numPr>
          <w:ilvl w:val="0"/>
          <w:numId w:val="7"/>
        </w:numPr>
        <w:spacing w:before="100" w:beforeAutospacing="1" w:after="75" w:line="33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>Effectiveness in serving employers</w:t>
      </w:r>
    </w:p>
    <w:p w:rsidR="0076664A" w:rsidRPr="00E5223E" w:rsidRDefault="0076664A" w:rsidP="00E35C47">
      <w:pPr>
        <w:spacing w:line="330" w:lineRule="atLeast"/>
        <w:rPr>
          <w:rFonts w:ascii="Arial" w:eastAsia="Times New Roman" w:hAnsi="Arial" w:cs="Arial"/>
          <w:sz w:val="24"/>
          <w:szCs w:val="24"/>
          <w:lang w:val="en"/>
        </w:rPr>
      </w:pPr>
    </w:p>
    <w:p w:rsidR="00AF6F7B" w:rsidRPr="00E5223E" w:rsidRDefault="0019695D" w:rsidP="005825EB">
      <w:pPr>
        <w:spacing w:line="330" w:lineRule="atLeast"/>
        <w:rPr>
          <w:rFonts w:ascii="Arial" w:hAnsi="Arial" w:cs="Arial"/>
          <w:sz w:val="24"/>
          <w:szCs w:val="24"/>
        </w:rPr>
      </w:pP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All LWDBs are required to have training providers on the approved ETPL that are offering training programs aligned with their 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>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tate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>’s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and 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>R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egion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>’s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in-demand occupations and sectors. They will be </w:t>
      </w:r>
      <w:r w:rsidRPr="00214AB7">
        <w:rPr>
          <w:rFonts w:ascii="Arial" w:eastAsia="Times New Roman" w:hAnsi="Arial" w:cs="Arial"/>
          <w:noProof/>
          <w:sz w:val="24"/>
          <w:szCs w:val="24"/>
          <w:lang w:val="en"/>
        </w:rPr>
        <w:t>required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to ensure training providers make all the above information available to their </w:t>
      </w:r>
      <w:r w:rsidR="00130805">
        <w:rPr>
          <w:rFonts w:ascii="Arial" w:eastAsia="Times New Roman" w:hAnsi="Arial" w:cs="Arial"/>
          <w:sz w:val="24"/>
          <w:szCs w:val="24"/>
          <w:lang w:val="en"/>
        </w:rPr>
        <w:t xml:space="preserve">American Job 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Centers so eligible clients can make informed decisions on training offerings. They will be required to report performance and outcomes on training </w:t>
      </w:r>
      <w:r w:rsidRPr="00130805">
        <w:rPr>
          <w:rFonts w:ascii="Arial" w:eastAsia="Times New Roman" w:hAnsi="Arial" w:cs="Arial"/>
          <w:noProof/>
          <w:sz w:val="24"/>
          <w:szCs w:val="24"/>
          <w:lang w:val="en"/>
        </w:rPr>
        <w:t>offerings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 xml:space="preserve"> while ensuring individuals with barriers to employment </w:t>
      </w:r>
      <w:r w:rsidRPr="00214AB7">
        <w:rPr>
          <w:rFonts w:ascii="Arial" w:eastAsia="Times New Roman" w:hAnsi="Arial" w:cs="Arial"/>
          <w:noProof/>
          <w:sz w:val="24"/>
          <w:szCs w:val="24"/>
          <w:lang w:val="en"/>
        </w:rPr>
        <w:t>are served</w:t>
      </w:r>
      <w:r w:rsidRPr="00E5223E">
        <w:rPr>
          <w:rFonts w:ascii="Arial" w:eastAsia="Times New Roman" w:hAnsi="Arial" w:cs="Arial"/>
          <w:sz w:val="24"/>
          <w:szCs w:val="24"/>
          <w:lang w:val="en"/>
        </w:rPr>
        <w:t>.</w:t>
      </w:r>
    </w:p>
    <w:sectPr w:rsidR="00AF6F7B" w:rsidRPr="00E5223E" w:rsidSect="005825E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638F"/>
    <w:multiLevelType w:val="multilevel"/>
    <w:tmpl w:val="7D0E0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83F06"/>
    <w:multiLevelType w:val="multilevel"/>
    <w:tmpl w:val="38A8D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076A3"/>
    <w:multiLevelType w:val="multilevel"/>
    <w:tmpl w:val="185E1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B3623"/>
    <w:multiLevelType w:val="multilevel"/>
    <w:tmpl w:val="1A127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117F0"/>
    <w:multiLevelType w:val="multilevel"/>
    <w:tmpl w:val="13AAE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A77D3"/>
    <w:multiLevelType w:val="multilevel"/>
    <w:tmpl w:val="3A485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F042F"/>
    <w:multiLevelType w:val="multilevel"/>
    <w:tmpl w:val="73F2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NjMxMzCwsDS1MDVW0lEKTi0uzszPAykwrAUAQ7i21ywAAAA="/>
  </w:docVars>
  <w:rsids>
    <w:rsidRoot w:val="00693DD2"/>
    <w:rsid w:val="00076D1E"/>
    <w:rsid w:val="00086114"/>
    <w:rsid w:val="001064E8"/>
    <w:rsid w:val="001161A5"/>
    <w:rsid w:val="00130805"/>
    <w:rsid w:val="0019695D"/>
    <w:rsid w:val="001D182F"/>
    <w:rsid w:val="00214AB7"/>
    <w:rsid w:val="00474CB2"/>
    <w:rsid w:val="005825EB"/>
    <w:rsid w:val="00693DD2"/>
    <w:rsid w:val="0076664A"/>
    <w:rsid w:val="008B7A22"/>
    <w:rsid w:val="0093345E"/>
    <w:rsid w:val="00AF6F7B"/>
    <w:rsid w:val="00C512BA"/>
    <w:rsid w:val="00CF4C67"/>
    <w:rsid w:val="00D03A49"/>
    <w:rsid w:val="00E35C47"/>
    <w:rsid w:val="00E5223E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22AF-4437-4182-B934-E9A9C65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95D"/>
    <w:pPr>
      <w:spacing w:after="84" w:line="660" w:lineRule="atLeast"/>
      <w:outlineLvl w:val="1"/>
    </w:pPr>
    <w:rPr>
      <w:rFonts w:ascii="Helvetica" w:eastAsia="Times New Roman" w:hAnsi="Helvetica" w:cs="Helvetica"/>
      <w:color w:val="5A5A5A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D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695D"/>
    <w:rPr>
      <w:rFonts w:ascii="Helvetica" w:eastAsia="Times New Roman" w:hAnsi="Helvetica" w:cs="Helvetica"/>
      <w:color w:val="5A5A5A"/>
      <w:sz w:val="51"/>
      <w:szCs w:val="51"/>
    </w:rPr>
  </w:style>
  <w:style w:type="character" w:styleId="Strong">
    <w:name w:val="Strong"/>
    <w:basedOn w:val="DefaultParagraphFont"/>
    <w:uiPriority w:val="22"/>
    <w:qFormat/>
    <w:rsid w:val="00196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95D"/>
    <w:pPr>
      <w:spacing w:after="1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1019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6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12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Allen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n.gov/assets/entities/labor/attachments/Provider_Help_Guide_ET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assets/entities/labor/attachments/Applying_to_Become_a_Provid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n.gov/workforce/article/eligible-training-provid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dr.doleta.gov/directives/corr_doc.cfm?DOCN=5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Lyons</dc:creator>
  <cp:keywords/>
  <dc:description/>
  <cp:lastModifiedBy>Ginger Lyons</cp:lastModifiedBy>
  <cp:revision>2</cp:revision>
  <dcterms:created xsi:type="dcterms:W3CDTF">2017-11-01T12:15:00Z</dcterms:created>
  <dcterms:modified xsi:type="dcterms:W3CDTF">2017-11-01T12:15:00Z</dcterms:modified>
</cp:coreProperties>
</file>